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t xml:space="preserve">24 Fintech API Case Studies</w:t>
      </w:r>
    </w:p>
    <w:p>
      <w:pPr>
        <w:spacing w:after="100"/>
      </w:pPr>
      <w:r>
        <w:rPr>
          <w:rFonts w:ascii="Calibri" w:cs="Calibri" w:eastAsia="Calibri" w:hAnsi="Calibri"/>
          <w:i/>
          <w:iCs/>
          <w:sz w:val="20"/>
          <w:szCs w:val="20"/>
        </w:rPr>
        <w:t xml:space="preserve">Companion to the hands-on NSDL KYC Verification project you built and tested in Postman.</w:t>
      </w:r>
    </w:p>
    <w:p>
      <w:pPr>
        <w:spacing w:after="100"/>
      </w:pPr>
      <w:r>
        <w:rPr>
          <w:rFonts w:ascii="Calibri" w:cs="Calibri" w:eastAsia="Calibri" w:hAnsi="Calibri"/>
          <w:sz w:val="21"/>
          <w:szCs w:val="21"/>
        </w:rPr>
        <w:t xml:space="preserve">Same format throughout: what it does, a realistic endpoint, sample request/response, and the test scenarios that actually matter — so you can talk through any of these in the interview the same way you can already talk through KYC, even without having clicked "Send" on it yourself.</w:t>
      </w:r>
    </w:p>
    <w:p>
      <w:pPr>
        <w:spacing w:after="100"/>
      </w:pPr>
      <w:r>
        <w:rPr>
          <w:rFonts w:ascii="Calibri" w:cs="Calibri" w:eastAsia="Calibri" w:hAnsi="Calibri"/>
          <w:b/>
          <w:bCs/>
          <w:sz w:val="21"/>
          <w:szCs w:val="21"/>
        </w:rPr>
        <w:t xml:space="preserve">How to use this: </w:t>
      </w:r>
      <w:r>
        <w:rPr>
          <w:rFonts w:ascii="Calibri" w:cs="Calibri" w:eastAsia="Calibri" w:hAnsi="Calibri"/>
          <w:sz w:val="21"/>
          <w:szCs w:val="21"/>
        </w:rPr>
        <w:t xml:space="preserve">you don't need to memorize the JSON. What matters is the shape of the answer for each one — what it's for, what could go wrong, and what a good test suite checks. That pattern is identical across all 24; only the specifics change.</w:t>
      </w:r>
    </w:p>
    <w:p>
      <w:pPr>
        <w:pBdr>
          <w:bottom w:val="single" w:color="999999" w:sz="6"/>
        </w:pBdr>
        <w:spacing w:after="200" w:before="200"/>
      </w:pPr>
    </w:p>
    <w:p>
      <w:pPr>
        <w:pStyle w:val="Heading1"/>
        <w:spacing w:after="160" w:before="320"/>
      </w:pPr>
      <w:r>
        <w:t xml:space="preserve">1. Identity &amp; KYC</w:t>
      </w:r>
    </w:p>
    <w:p>
      <w:pPr>
        <w:pStyle w:val="Heading2"/>
        <w:spacing w:after="100" w:before="240"/>
      </w:pPr>
      <w:r>
        <w:t xml:space="preserve">1.1 NSDL PAN Verification</w:t>
      </w:r>
    </w:p>
    <w:p>
      <w:pPr>
        <w:spacing w:after="100"/>
      </w:pPr>
      <w:r>
        <w:rPr>
          <w:rFonts w:ascii="Calibri" w:cs="Calibri" w:eastAsia="Calibri" w:hAnsi="Calibri"/>
          <w:i/>
          <w:iCs/>
          <w:sz w:val="21"/>
          <w:szCs w:val="21"/>
        </w:rPr>
        <w:t xml:space="preserve">(You already built and tested this one — included here for completeness.)</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Confirms a PAN number is genuine and matches the name/DOB given.</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/v1/kyc/verify</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 200 VERIFIED</w:t>
      </w:r>
    </w:p>
    <w:p>
      <w:pPr>
        <w:pStyle w:val="bulletStyle"/>
        <w:numPr>
          <w:ilvl w:val="0"/>
          <w:numId w:val="2"/>
        </w:numPr>
        <w:spacing w:after="60"/>
      </w:pPr>
      <w:r>
        <w:t xml:space="preserve">missing PAN → 400</w:t>
      </w:r>
    </w:p>
    <w:p>
      <w:pPr>
        <w:pStyle w:val="bulletStyle"/>
        <w:numPr>
          <w:ilvl w:val="0"/>
          <w:numId w:val="2"/>
        </w:numPr>
        <w:spacing w:after="60"/>
      </w:pPr>
      <w:r>
        <w:t xml:space="preserve">invalid PAN format → 400</w:t>
      </w:r>
    </w:p>
    <w:p>
      <w:pPr>
        <w:pStyle w:val="bulletStyle"/>
        <w:numPr>
          <w:ilvl w:val="0"/>
          <w:numId w:val="2"/>
        </w:numPr>
        <w:spacing w:after="60"/>
      </w:pPr>
      <w:r>
        <w:t xml:space="preserve">invalid/missing token → 401</w:t>
      </w:r>
    </w:p>
    <w:p>
      <w:pPr>
        <w:pStyle w:val="bulletStyle"/>
        <w:numPr>
          <w:ilvl w:val="0"/>
          <w:numId w:val="2"/>
        </w:numPr>
        <w:spacing w:after="60"/>
      </w:pPr>
      <w:r>
        <w:t xml:space="preserve">unknown customer → 404</w:t>
      </w:r>
    </w:p>
    <w:p>
      <w:pPr>
        <w:pStyle w:val="bulletStyle"/>
        <w:numPr>
          <w:ilvl w:val="0"/>
          <w:numId w:val="2"/>
        </w:numPr>
        <w:spacing w:after="60"/>
      </w:pPr>
      <w:r>
        <w:t xml:space="preserve">duplicate in-progress request → 409</w:t>
      </w:r>
    </w:p>
    <w:p>
      <w:pPr>
        <w:pStyle w:val="bulletStyle"/>
        <w:numPr>
          <w:ilvl w:val="0"/>
          <w:numId w:val="2"/>
        </w:numPr>
        <w:spacing w:after="60"/>
      </w:pPr>
      <w:r>
        <w:t xml:space="preserve">downstream failure → 500</w:t>
      </w:r>
    </w:p>
    <w:p>
      <w:pPr>
        <w:pStyle w:val="bulletStyle"/>
        <w:numPr>
          <w:ilvl w:val="0"/>
          <w:numId w:val="2"/>
        </w:numPr>
        <w:spacing w:after="60"/>
      </w:pPr>
      <w:r>
        <w:t xml:space="preserve">timeout (NSDL slow/down) → connection error, not a clean response</w:t>
      </w:r>
    </w:p>
    <w:p>
      <w:pPr>
        <w:pStyle w:val="Heading2"/>
        <w:spacing w:after="100" w:before="240"/>
      </w:pPr>
      <w:r>
        <w:t xml:space="preserve">1.2 Aadhaar eKYC / OKYC</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Verifies identity using Aadhaar number + OTP sent to the registered mobile, pulling name/address/DOB/photo from UIDAI.</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/v1/kyc/aadhaar/initiate (sends OTP) → POST /v1/kyc/aadhaar/verify (submits OTP)</w:t>
      </w:r>
    </w:p>
    <w:p>
      <w:pPr>
        <w:spacing w:after="100"/>
      </w:pPr>
      <w:r>
        <w:rPr>
          <w:rFonts w:ascii="Calibri" w:cs="Calibri" w:eastAsia="Calibri" w:hAnsi="Calibri"/>
          <w:b/>
          <w:bCs/>
          <w:sz w:val="21"/>
          <w:szCs w:val="21"/>
        </w:rPr>
        <w:t xml:space="preserve">Sample request:</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 "referenceId": "AAD-REQ-88213", "otp": "482913" }</w:t>
      </w:r>
    </w:p>
    <w:p>
      <w:pPr>
        <w:spacing w:after="100"/>
      </w:pPr>
      <w:r>
        <w:rPr>
          <w:rFonts w:ascii="Calibri" w:cs="Calibri" w:eastAsia="Calibri" w:hAnsi="Calibri"/>
          <w:b/>
          <w:bCs/>
          <w:sz w:val="21"/>
          <w:szCs w:val="21"/>
        </w:rPr>
        <w:t xml:space="preserve">Sample response:</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 "status": "SUCCESS", "verified": true, "name": "R. SHARMA", "dob": "1990-04-11", "addressAvailable": true, "photoAvailable": true }</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OTP → 200 verified</w:t>
      </w:r>
    </w:p>
    <w:p>
      <w:pPr>
        <w:pStyle w:val="bulletStyle"/>
        <w:numPr>
          <w:ilvl w:val="0"/>
          <w:numId w:val="2"/>
        </w:numPr>
        <w:spacing w:after="60"/>
      </w:pPr>
      <w:r>
        <w:t xml:space="preserve">wrong OTP → 400 INVALID_OTP</w:t>
      </w:r>
    </w:p>
    <w:p>
      <w:pPr>
        <w:pStyle w:val="bulletStyle"/>
        <w:numPr>
          <w:ilvl w:val="0"/>
          <w:numId w:val="2"/>
        </w:numPr>
        <w:spacing w:after="60"/>
      </w:pPr>
      <w:r>
        <w:t xml:space="preserve">OTP expired (&gt;3 min old, a real UIDAI rule) → 400 OTP_EXPIRED</w:t>
      </w:r>
    </w:p>
    <w:p>
      <w:pPr>
        <w:pStyle w:val="bulletStyle"/>
        <w:numPr>
          <w:ilvl w:val="0"/>
          <w:numId w:val="2"/>
        </w:numPr>
        <w:spacing w:after="60"/>
      </w:pPr>
      <w:r>
        <w:t xml:space="preserve">OTP retry limit exceeded (3 attempts, a real UIDAI limit) → 429 MAX_ATTEMPTS_EXCEEDED</w:t>
      </w:r>
    </w:p>
    <w:p>
      <w:pPr>
        <w:pStyle w:val="bulletStyle"/>
        <w:numPr>
          <w:ilvl w:val="0"/>
          <w:numId w:val="2"/>
        </w:numPr>
        <w:spacing w:after="60"/>
      </w:pPr>
      <w:r>
        <w:t xml:space="preserve">Aadhaar not linked to a mobile number → 422 MOBILE_NOT_LINKED</w:t>
      </w:r>
    </w:p>
    <w:p>
      <w:pPr>
        <w:pStyle w:val="bulletStyle"/>
        <w:numPr>
          <w:ilvl w:val="0"/>
          <w:numId w:val="2"/>
        </w:numPr>
        <w:spacing w:after="60"/>
      </w:pPr>
      <w:r>
        <w:t xml:space="preserve">UIDAI service down → 503</w:t>
      </w:r>
    </w:p>
    <w:p>
      <w:pPr>
        <w:spacing w:after="100"/>
      </w:pPr>
      <w:r>
        <w:rPr>
          <w:rFonts w:ascii="Calibri" w:cs="Calibri" w:eastAsia="Calibri" w:hAnsi="Calibri"/>
          <w:b/>
          <w:bCs/>
          <w:sz w:val="21"/>
          <w:szCs w:val="21"/>
        </w:rPr>
        <w:t xml:space="preserve">Note: </w:t>
      </w:r>
      <w:r>
        <w:rPr>
          <w:rFonts w:ascii="Calibri" w:cs="Calibri" w:eastAsia="Calibri" w:hAnsi="Calibri"/>
          <w:sz w:val="21"/>
          <w:szCs w:val="21"/>
        </w:rPr>
        <w:t xml:space="preserve">Aadhaar data is masked-by-law (only last 4 digits ever stored/shown) — this is a legally mandated data-masking requirement, not just good practice.</w:t>
      </w:r>
    </w:p>
    <w:p>
      <w:pPr>
        <w:pStyle w:val="Heading2"/>
        <w:spacing w:after="100" w:before="240"/>
      </w:pPr>
      <w:r>
        <w:t xml:space="preserve">1.3 DigiLocker Pull</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Fetches a government-issued document (PAN card, driving license, marksheet) directly from a customer's DigiLocker account with their consent.</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GET /v1/digilocker/documents?docType=PANCR</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consented pull → 200 with document URI</w:t>
      </w:r>
    </w:p>
    <w:p>
      <w:pPr>
        <w:pStyle w:val="bulletStyle"/>
        <w:numPr>
          <w:ilvl w:val="0"/>
          <w:numId w:val="2"/>
        </w:numPr>
        <w:spacing w:after="60"/>
      </w:pPr>
      <w:r>
        <w:t xml:space="preserve">consent not granted → 403 CONSENT_REQUIRED</w:t>
      </w:r>
    </w:p>
    <w:p>
      <w:pPr>
        <w:pStyle w:val="bulletStyle"/>
        <w:numPr>
          <w:ilvl w:val="0"/>
          <w:numId w:val="2"/>
        </w:numPr>
        <w:spacing w:after="60"/>
      </w:pPr>
      <w:r>
        <w:t xml:space="preserve">document type not found in that account → 404</w:t>
      </w:r>
    </w:p>
    <w:p>
      <w:pPr>
        <w:pStyle w:val="bulletStyle"/>
        <w:numPr>
          <w:ilvl w:val="0"/>
          <w:numId w:val="2"/>
        </w:numPr>
        <w:spacing w:after="60"/>
      </w:pPr>
      <w:r>
        <w:t xml:space="preserve">consent token expired → 401</w:t>
      </w:r>
    </w:p>
    <w:p>
      <w:pPr>
        <w:pStyle w:val="bulletStyle"/>
        <w:numPr>
          <w:ilvl w:val="0"/>
          <w:numId w:val="2"/>
        </w:numPr>
        <w:spacing w:after="60"/>
      </w:pPr>
      <w:r>
        <w:t xml:space="preserve">rate-limited by DigiLocker → 429</w:t>
      </w:r>
    </w:p>
    <w:p>
      <w:pPr>
        <w:pStyle w:val="Heading2"/>
        <w:spacing w:after="100" w:before="240"/>
      </w:pPr>
      <w:r>
        <w:t xml:space="preserve">1.4 CKYC Registry Lookup</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Checks India's Central KYC Registry to see if a customer already has a verified KYC record anywhere in the financial system — avoids re-collecting the same documents.</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GET /v1/ckyc/search?panNumber=ABCDE1234F</w:t>
      </w:r>
    </w:p>
    <w:p>
      <w:pPr>
        <w:spacing w:after="100"/>
      </w:pPr>
      <w:r>
        <w:rPr>
          <w:rFonts w:ascii="Calibri" w:cs="Calibri" w:eastAsia="Calibri" w:hAnsi="Calibri"/>
          <w:b/>
          <w:bCs/>
          <w:sz w:val="21"/>
          <w:szCs w:val="21"/>
        </w:rPr>
        <w:t xml:space="preserve">Sample response:</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 "found": true, "ckycNumber": "10012345678901", "kycStatus": "VERIFIED", "lastUpdated": "2025-11-02" }</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record found → 200 with CKYC number</w:t>
      </w:r>
    </w:p>
    <w:p>
      <w:pPr>
        <w:pStyle w:val="bulletStyle"/>
        <w:numPr>
          <w:ilvl w:val="0"/>
          <w:numId w:val="2"/>
        </w:numPr>
        <w:spacing w:after="60"/>
      </w:pPr>
      <w:r>
        <w:t xml:space="preserve">no record found (new customer) → 200 found:false (not an error)</w:t>
      </w:r>
    </w:p>
    <w:p>
      <w:pPr>
        <w:pStyle w:val="bulletStyle"/>
        <w:numPr>
          <w:ilvl w:val="0"/>
          <w:numId w:val="2"/>
        </w:numPr>
        <w:spacing w:after="60"/>
      </w:pPr>
      <w:r>
        <w:t xml:space="preserve">malformed PAN → 400</w:t>
      </w:r>
    </w:p>
    <w:p>
      <w:pPr>
        <w:pStyle w:val="bulletStyle"/>
        <w:numPr>
          <w:ilvl w:val="0"/>
          <w:numId w:val="2"/>
        </w:numPr>
        <w:spacing w:after="60"/>
      </w:pPr>
      <w:r>
        <w:t xml:space="preserve">registry timeout → 504</w:t>
      </w:r>
    </w:p>
    <w:p>
      <w:pPr>
        <w:pBdr>
          <w:bottom w:val="single" w:color="999999" w:sz="6"/>
        </w:pBdr>
        <w:spacing w:after="200" w:before="200"/>
      </w:pPr>
    </w:p>
    <w:p>
      <w:pPr>
        <w:pStyle w:val="Heading1"/>
        <w:spacing w:after="160" w:before="320"/>
      </w:pPr>
      <w:r>
        <w:t xml:space="preserve">2. E-agreement / E-sign</w:t>
      </w:r>
    </w:p>
    <w:p>
      <w:pPr>
        <w:pStyle w:val="Heading2"/>
        <w:spacing w:after="100" w:before="240"/>
      </w:pPr>
      <w:r>
        <w:t xml:space="preserve">2.1 Aadhaar eSign</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Legally binds a customer to a loan/agreement document via an Aadhaar-based digital signature (OTP-authenticated) — same legal weight as a wet-ink signature under the IT Act.</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/v1/esign/initiate</w:t>
      </w:r>
    </w:p>
    <w:p>
      <w:pPr>
        <w:spacing w:after="100"/>
      </w:pPr>
      <w:r>
        <w:rPr>
          <w:rFonts w:ascii="Calibri" w:cs="Calibri" w:eastAsia="Calibri" w:hAnsi="Calibri"/>
          <w:b/>
          <w:bCs/>
          <w:sz w:val="21"/>
          <w:szCs w:val="21"/>
        </w:rPr>
        <w:t xml:space="preserve">Sample request:</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 "documentId": "AGMT-2026-4471", "aadhaarLast4": "8821", "signerName": "R. Sharma" }</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signing flow → 200, signed PDF returned</w:t>
      </w:r>
    </w:p>
    <w:p>
      <w:pPr>
        <w:pStyle w:val="bulletStyle"/>
        <w:numPr>
          <w:ilvl w:val="0"/>
          <w:numId w:val="2"/>
        </w:numPr>
        <w:spacing w:after="60"/>
      </w:pPr>
      <w:r>
        <w:t xml:space="preserve">OTP mismatch → 400</w:t>
      </w:r>
    </w:p>
    <w:p>
      <w:pPr>
        <w:pStyle w:val="bulletStyle"/>
        <w:numPr>
          <w:ilvl w:val="0"/>
          <w:numId w:val="2"/>
        </w:numPr>
        <w:spacing w:after="60"/>
      </w:pPr>
      <w:r>
        <w:t xml:space="preserve">document already signed (re-submitted) → 409 ALREADY_SIGNED</w:t>
      </w:r>
    </w:p>
    <w:p>
      <w:pPr>
        <w:pStyle w:val="bulletStyle"/>
        <w:numPr>
          <w:ilvl w:val="0"/>
          <w:numId w:val="2"/>
        </w:numPr>
        <w:spacing w:after="60"/>
      </w:pPr>
      <w:r>
        <w:t xml:space="preserve">document ID doesn't exist → 404</w:t>
      </w:r>
    </w:p>
    <w:p>
      <w:pPr>
        <w:pStyle w:val="bulletStyle"/>
        <w:numPr>
          <w:ilvl w:val="0"/>
          <w:numId w:val="2"/>
        </w:numPr>
        <w:spacing w:after="60"/>
      </w:pPr>
      <w:r>
        <w:t xml:space="preserve">signer name doesn't match the Aadhaar name on record → 422 NAME_MISMATCH (a real fraud-prevention check)</w:t>
      </w:r>
    </w:p>
    <w:p>
      <w:pPr>
        <w:pStyle w:val="bulletStyle"/>
        <w:numPr>
          <w:ilvl w:val="0"/>
          <w:numId w:val="2"/>
        </w:numPr>
        <w:spacing w:after="60"/>
      </w:pPr>
      <w:r>
        <w:t xml:space="preserve">signing link expired (typically 24-48 hr window) → 410 GONE</w:t>
      </w:r>
    </w:p>
    <w:p>
      <w:pPr>
        <w:pStyle w:val="Heading2"/>
        <w:spacing w:after="100" w:before="240"/>
      </w:pPr>
      <w:r>
        <w:t xml:space="preserve">2.2 E-stamp &amp; E-sign (Leegality-style)</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Applies government e-stamp duty and digital signature to a document in one flow — the e-stamp part is what makes it legally admissible as a stamped agreement, not just signed.</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/v1/estamp/create</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correct stamp duty for the state/document type → 200</w:t>
      </w:r>
    </w:p>
    <w:p>
      <w:pPr>
        <w:pStyle w:val="bulletStyle"/>
        <w:numPr>
          <w:ilvl w:val="0"/>
          <w:numId w:val="2"/>
        </w:numPr>
        <w:spacing w:after="60"/>
      </w:pPr>
      <w:r>
        <w:t xml:space="preserve">wrong stamp duty amount for that document category → 400 INCORRECT_STAMP_VALUE (each Indian state has different stamp duty rules)</w:t>
      </w:r>
    </w:p>
    <w:p>
      <w:pPr>
        <w:pStyle w:val="bulletStyle"/>
        <w:numPr>
          <w:ilvl w:val="0"/>
          <w:numId w:val="2"/>
        </w:numPr>
        <w:spacing w:after="60"/>
      </w:pPr>
      <w:r>
        <w:t xml:space="preserve">document exceeds max page limit for e-stamping → 400</w:t>
      </w:r>
    </w:p>
    <w:p>
      <w:pPr>
        <w:pStyle w:val="bulletStyle"/>
        <w:numPr>
          <w:ilvl w:val="0"/>
          <w:numId w:val="2"/>
        </w:numPr>
        <w:spacing w:after="60"/>
      </w:pPr>
      <w:r>
        <w:t xml:space="preserve">e-stamp vendor (SHCIL) service down → 503</w:t>
      </w:r>
    </w:p>
    <w:p>
      <w:pPr>
        <w:pBdr>
          <w:bottom w:val="single" w:color="999999" w:sz="6"/>
        </w:pBdr>
        <w:spacing w:after="200" w:before="200"/>
      </w:pPr>
    </w:p>
    <w:p>
      <w:pPr>
        <w:pStyle w:val="Heading1"/>
        <w:spacing w:after="160" w:before="320"/>
      </w:pPr>
      <w:r>
        <w:t xml:space="preserve">3. Credit &amp; Risk</w:t>
      </w:r>
    </w:p>
    <w:p>
      <w:pPr>
        <w:pStyle w:val="Heading2"/>
        <w:spacing w:after="100" w:before="240"/>
      </w:pPr>
      <w:r>
        <w:t xml:space="preserve">3.1 CIBIL / Credit Bureau Pull</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Pulls a customer's credit score and report from CIBIL (or Experian/CRIF) to inform a lending decision.</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/v1/credit/bureau-check</w:t>
      </w:r>
    </w:p>
    <w:p>
      <w:pPr>
        <w:spacing w:after="100"/>
      </w:pPr>
      <w:r>
        <w:rPr>
          <w:rFonts w:ascii="Calibri" w:cs="Calibri" w:eastAsia="Calibri" w:hAnsi="Calibri"/>
          <w:b/>
          <w:bCs/>
          <w:sz w:val="21"/>
          <w:szCs w:val="21"/>
        </w:rPr>
        <w:t xml:space="preserve">Sample response:</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 "status": "SUCCESS", "cibilScore": 742, "reportId": "CB-99213", "enquiriesLast6Months": 2 }</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pull, score returned → 200</w:t>
      </w:r>
    </w:p>
    <w:p>
      <w:pPr>
        <w:pStyle w:val="bulletStyle"/>
        <w:numPr>
          <w:ilvl w:val="0"/>
          <w:numId w:val="2"/>
        </w:numPr>
        <w:spacing w:after="60"/>
      </w:pPr>
      <w:r>
        <w:t xml:space="preserve">customer has no credit history ("NH" — a real, valid, non-error outcome for a first-time borrower) → 200 score:null, reason:"NH"</w:t>
      </w:r>
    </w:p>
    <w:p>
      <w:pPr>
        <w:pStyle w:val="bulletStyle"/>
        <w:numPr>
          <w:ilvl w:val="0"/>
          <w:numId w:val="2"/>
        </w:numPr>
        <w:spacing w:after="60"/>
      </w:pPr>
      <w:r>
        <w:t xml:space="preserve">PAN doesn't match any bureau record → 404</w:t>
      </w:r>
    </w:p>
    <w:p>
      <w:pPr>
        <w:pStyle w:val="bulletStyle"/>
        <w:numPr>
          <w:ilvl w:val="0"/>
          <w:numId w:val="2"/>
        </w:numPr>
        <w:spacing w:after="60"/>
      </w:pPr>
      <w:r>
        <w:t xml:space="preserve">consent not captured before pull → 403 (RBI mandates explicit consent before any bureau pull — a hard compliance rule)</w:t>
      </w:r>
    </w:p>
    <w:p>
      <w:pPr>
        <w:pStyle w:val="bulletStyle"/>
        <w:numPr>
          <w:ilvl w:val="0"/>
          <w:numId w:val="2"/>
        </w:numPr>
        <w:spacing w:after="60"/>
      </w:pPr>
      <w:r>
        <w:t xml:space="preserve">bureau service down → 503</w:t>
      </w:r>
    </w:p>
    <w:p>
      <w:pPr>
        <w:pStyle w:val="bulletStyle"/>
        <w:numPr>
          <w:ilvl w:val="0"/>
          <w:numId w:val="2"/>
        </w:numPr>
        <w:spacing w:after="60"/>
      </w:pPr>
      <w:r>
        <w:t xml:space="preserve">duplicate pull within cooldown window → 429</w:t>
      </w:r>
    </w:p>
    <w:p>
      <w:pPr>
        <w:pStyle w:val="Heading2"/>
        <w:spacing w:after="100" w:before="240"/>
      </w:pPr>
      <w:r>
        <w:t xml:space="preserve">3.2 Internal Risk-Scoring Engine</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Combines bureau score + income + existing exposure + behavioral data into a final approve/reject/refer decision — the company's own proprietary model, not a third-party pull.</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/v1/risk/score</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input, score returned → 200 decision:APPROVE/REFER/REJECT</w:t>
      </w:r>
    </w:p>
    <w:p>
      <w:pPr>
        <w:pStyle w:val="bulletStyle"/>
        <w:numPr>
          <w:ilvl w:val="0"/>
          <w:numId w:val="2"/>
        </w:numPr>
        <w:spacing w:after="60"/>
      </w:pPr>
      <w:r>
        <w:t xml:space="preserve">missing income data → 400</w:t>
      </w:r>
    </w:p>
    <w:p>
      <w:pPr>
        <w:pStyle w:val="bulletStyle"/>
        <w:numPr>
          <w:ilvl w:val="0"/>
          <w:numId w:val="2"/>
        </w:numPr>
        <w:spacing w:after="60"/>
      </w:pPr>
      <w:r>
        <w:t xml:space="preserve">model service degraded, falls back to a simpler rule-based score → 200 fallbackUsed:true (graceful degradation, not hard failure)</w:t>
      </w:r>
    </w:p>
    <w:p>
      <w:pPr>
        <w:pStyle w:val="bulletStyle"/>
        <w:numPr>
          <w:ilvl w:val="0"/>
          <w:numId w:val="2"/>
        </w:numPr>
        <w:spacing w:after="60"/>
      </w:pPr>
      <w:r>
        <w:t xml:space="preserve">customer already has an active loan exceeding exposure limit → 200 decision:REJECT, reason:"EXPOSURE_LIMIT"</w:t>
      </w:r>
    </w:p>
    <w:p>
      <w:pPr>
        <w:pStyle w:val="Heading2"/>
        <w:spacing w:after="100" w:before="240"/>
      </w:pPr>
      <w:r>
        <w:t xml:space="preserve">3.3 Bank Statement Analysis</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Analyzes a customer's bank statement (pulled via Account Aggregator or uploaded PDF) to verify income and spending patterns — a real alternative to payslips for gig-economy or self-employed applicants.</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/v1/risk/statement-analysis</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statement, income verified → 200</w:t>
      </w:r>
    </w:p>
    <w:p>
      <w:pPr>
        <w:pStyle w:val="bulletStyle"/>
        <w:numPr>
          <w:ilvl w:val="0"/>
          <w:numId w:val="2"/>
        </w:numPr>
        <w:spacing w:after="60"/>
      </w:pPr>
      <w:r>
        <w:t xml:space="preserve">statement too short (&lt;3 months, below typical minimum) → 400 INSUFFICIENT_HISTORY</w:t>
      </w:r>
    </w:p>
    <w:p>
      <w:pPr>
        <w:pStyle w:val="bulletStyle"/>
        <w:numPr>
          <w:ilvl w:val="0"/>
          <w:numId w:val="2"/>
        </w:numPr>
        <w:spacing w:after="60"/>
      </w:pPr>
      <w:r>
        <w:t xml:space="preserve">statement shows bounced cheques/failed EMIs (a real red flag) → 200 flags:["BOUNCED_PAYMENT"]</w:t>
      </w:r>
    </w:p>
    <w:p>
      <w:pPr>
        <w:pStyle w:val="bulletStyle"/>
        <w:numPr>
          <w:ilvl w:val="0"/>
          <w:numId w:val="2"/>
        </w:numPr>
        <w:spacing w:after="60"/>
      </w:pPr>
      <w:r>
        <w:t xml:space="preserve">unreadable PDF/OCR failure → 422 PARSE_FAILED</w:t>
      </w:r>
    </w:p>
    <w:p>
      <w:pPr>
        <w:pBdr>
          <w:bottom w:val="single" w:color="999999" w:sz="6"/>
        </w:pBdr>
        <w:spacing w:after="200" w:before="200"/>
      </w:pPr>
    </w:p>
    <w:p>
      <w:pPr>
        <w:pStyle w:val="Heading1"/>
        <w:spacing w:after="160" w:before="320"/>
      </w:pPr>
      <w:r>
        <w:t xml:space="preserve">4. Payments &amp; Payouts</w:t>
      </w:r>
    </w:p>
    <w:p>
      <w:pPr>
        <w:pStyle w:val="Heading2"/>
        <w:spacing w:after="100" w:before="240"/>
      </w:pPr>
      <w:r>
        <w:t xml:space="preserve">4.1 UPI Payment</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Sends or receives money instantly via a UPI ID (VPA) — what your Partner Ops payout scenarios were modeling conceptually.</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/v1/payments/upi</w:t>
      </w:r>
    </w:p>
    <w:p>
      <w:pPr>
        <w:spacing w:after="100"/>
      </w:pPr>
      <w:r>
        <w:rPr>
          <w:rFonts w:ascii="Calibri" w:cs="Calibri" w:eastAsia="Calibri" w:hAnsi="Calibri"/>
          <w:b/>
          <w:bCs/>
          <w:sz w:val="21"/>
          <w:szCs w:val="21"/>
        </w:rPr>
        <w:t xml:space="preserve">Sample request:</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 "payerVpa": "customer@okhdfcbank", "payeeVpa": "bajajfinserv@icici", "amount": 15000.00, "purpose": "EMI_PAYMENT" }</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completes → 200 SUCCESS</w:t>
      </w:r>
    </w:p>
    <w:p>
      <w:pPr>
        <w:pStyle w:val="bulletStyle"/>
        <w:numPr>
          <w:ilvl w:val="0"/>
          <w:numId w:val="2"/>
        </w:numPr>
        <w:spacing w:after="60"/>
      </w:pPr>
      <w:r>
        <w:t xml:space="preserve">invalid VPA format → 400</w:t>
      </w:r>
    </w:p>
    <w:p>
      <w:pPr>
        <w:pStyle w:val="bulletStyle"/>
        <w:numPr>
          <w:ilvl w:val="0"/>
          <w:numId w:val="2"/>
        </w:numPr>
        <w:spacing w:after="60"/>
      </w:pPr>
      <w:r>
        <w:t xml:space="preserve">insufficient balance → 200 status:FAILED, reason:"INSUFFICIENT_FUNDS" (note: 200, not 400 — the request was valid, the transaction just didn't succeed)</w:t>
      </w:r>
    </w:p>
    <w:p>
      <w:pPr>
        <w:pStyle w:val="bulletStyle"/>
        <w:numPr>
          <w:ilvl w:val="0"/>
          <w:numId w:val="2"/>
        </w:numPr>
        <w:spacing w:after="60"/>
      </w:pPr>
      <w:r>
        <w:t xml:space="preserve">payment stuck PENDING beyond expected window (UPI's real "debited, credit pending" scenario) → needs a reconciliation/status-check call, not a retry</w:t>
      </w:r>
    </w:p>
    <w:p>
      <w:pPr>
        <w:pStyle w:val="bulletStyle"/>
        <w:numPr>
          <w:ilvl w:val="0"/>
          <w:numId w:val="2"/>
        </w:numPr>
        <w:spacing w:after="60"/>
      </w:pPr>
      <w:r>
        <w:t xml:space="preserve">duplicate payment (same idempotency key sent twice) → returns the original result, doesn't charge twice</w:t>
      </w:r>
    </w:p>
    <w:p>
      <w:pPr>
        <w:pStyle w:val="Heading2"/>
        <w:spacing w:after="100" w:before="240"/>
      </w:pPr>
      <w:r>
        <w:t xml:space="preserve">4.2 NEFT/RTGS/IMPS Payout</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Moves money to a bank account via India's interbank transfer rails — exactly what your payouts table modeled.</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/v1/payouts/bank-transfer</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 200, utrNumber returned (the real bank reference number)</w:t>
      </w:r>
    </w:p>
    <w:p>
      <w:pPr>
        <w:pStyle w:val="bulletStyle"/>
        <w:numPr>
          <w:ilvl w:val="0"/>
          <w:numId w:val="2"/>
        </w:numPr>
        <w:spacing w:after="60"/>
      </w:pPr>
      <w:r>
        <w:t xml:space="preserve">invalid IFSC code → 400</w:t>
      </w:r>
    </w:p>
    <w:p>
      <w:pPr>
        <w:pStyle w:val="bulletStyle"/>
        <w:numPr>
          <w:ilvl w:val="0"/>
          <w:numId w:val="2"/>
        </w:numPr>
        <w:spacing w:after="60"/>
      </w:pPr>
      <w:r>
        <w:t xml:space="preserve">beneficiary account doesn't exist → 200 status:FAILED, reason:"INVALID_ACCOUNT"</w:t>
      </w:r>
    </w:p>
    <w:p>
      <w:pPr>
        <w:pStyle w:val="bulletStyle"/>
        <w:numPr>
          <w:ilvl w:val="0"/>
          <w:numId w:val="2"/>
        </w:numPr>
        <w:spacing w:after="60"/>
      </w:pPr>
      <w:r>
        <w:t xml:space="preserve">RTGS attempted below ₹2 lakh minimum (a real RBI rule) → 400 BELOW_RTGS_MINIMUM</w:t>
      </w:r>
    </w:p>
    <w:p>
      <w:pPr>
        <w:pStyle w:val="bulletStyle"/>
        <w:numPr>
          <w:ilvl w:val="0"/>
          <w:numId w:val="2"/>
        </w:numPr>
        <w:spacing w:after="60"/>
      </w:pPr>
      <w:r>
        <w:t xml:space="preserve">duplicate payout, same amount+date+beneficiary → literally I3 from your SQL project</w:t>
      </w:r>
    </w:p>
    <w:p>
      <w:pPr>
        <w:pStyle w:val="Heading2"/>
        <w:spacing w:after="100" w:before="240"/>
      </w:pPr>
      <w:r>
        <w:t xml:space="preserve">4.3 Payment Gateway (Razorpay/Cashfree-style)</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Collects payment from a customer via card/UPI/netbanking on a checkout page.</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/v1/payment-gateway/orders</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order created → 200</w:t>
      </w:r>
    </w:p>
    <w:p>
      <w:pPr>
        <w:pStyle w:val="bulletStyle"/>
        <w:numPr>
          <w:ilvl w:val="0"/>
          <w:numId w:val="2"/>
        </w:numPr>
        <w:spacing w:after="60"/>
      </w:pPr>
      <w:r>
        <w:t xml:space="preserve">card declined by issuing bank → 200 status:FAILED, reason:"CARD_DECLINED"</w:t>
      </w:r>
    </w:p>
    <w:p>
      <w:pPr>
        <w:pStyle w:val="bulletStyle"/>
        <w:numPr>
          <w:ilvl w:val="0"/>
          <w:numId w:val="2"/>
        </w:numPr>
        <w:spacing w:after="60"/>
      </w:pPr>
      <w:r>
        <w:t xml:space="preserve">webhook for payment confirmation never arrives (a real reason to always have a manual reconciliation job, not just trust webhooks)</w:t>
      </w:r>
    </w:p>
    <w:p>
      <w:pPr>
        <w:pStyle w:val="bulletStyle"/>
        <w:numPr>
          <w:ilvl w:val="0"/>
          <w:numId w:val="2"/>
        </w:numPr>
        <w:spacing w:after="60"/>
      </w:pPr>
      <w:r>
        <w:t xml:space="preserve">signature verification fails on an incoming webhook (a real security check) → reject, don't process</w:t>
      </w:r>
    </w:p>
    <w:p>
      <w:pPr>
        <w:pStyle w:val="Heading2"/>
        <w:spacing w:after="100" w:before="240"/>
      </w:pPr>
      <w:r>
        <w:t xml:space="preserve">4.4 e-NACH / Mandate Setup</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Sets up a standing instruction so EMIs auto-debit from a customer's bank account every month, without needing a fresh authorization each time.</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/v1/enach/mandate</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mandate created → 200, pending customer bank approval</w:t>
      </w:r>
    </w:p>
    <w:p>
      <w:pPr>
        <w:pStyle w:val="bulletStyle"/>
        <w:numPr>
          <w:ilvl w:val="0"/>
          <w:numId w:val="2"/>
        </w:numPr>
        <w:spacing w:after="60"/>
      </w:pPr>
      <w:r>
        <w:t xml:space="preserve">mandate amount exceeds customer's per-transaction limit set with their bank → rejected by bank, not your system</w:t>
      </w:r>
    </w:p>
    <w:p>
      <w:pPr>
        <w:pStyle w:val="bulletStyle"/>
        <w:numPr>
          <w:ilvl w:val="0"/>
          <w:numId w:val="2"/>
        </w:numPr>
        <w:spacing w:after="60"/>
      </w:pPr>
      <w:r>
        <w:t xml:space="preserve">customer's bank doesn't support e-NACH (some smaller/co-op banks don't) → 400 BANK_NOT_SUPPORTED</w:t>
      </w:r>
    </w:p>
    <w:p>
      <w:pPr>
        <w:pStyle w:val="bulletStyle"/>
        <w:numPr>
          <w:ilvl w:val="0"/>
          <w:numId w:val="2"/>
        </w:numPr>
        <w:spacing w:after="60"/>
      </w:pPr>
      <w:r>
        <w:t xml:space="preserve">mandate execution fails on due date (insufficient balance) → triggers a bounced-EMI workflow, a real operational scenario</w:t>
      </w:r>
    </w:p>
    <w:p>
      <w:pPr>
        <w:pBdr>
          <w:bottom w:val="single" w:color="999999" w:sz="6"/>
        </w:pBdr>
        <w:spacing w:after="200" w:before="200"/>
      </w:pPr>
    </w:p>
    <w:p>
      <w:pPr>
        <w:pStyle w:val="Heading1"/>
        <w:spacing w:after="160" w:before="320"/>
      </w:pPr>
      <w:r>
        <w:t xml:space="preserve">5. Core Banking / Ledger</w:t>
      </w:r>
    </w:p>
    <w:p>
      <w:pPr>
        <w:pStyle w:val="Heading2"/>
        <w:spacing w:after="100" w:before="240"/>
      </w:pPr>
      <w:r>
        <w:t xml:space="preserve">5.1 Finacle Core Banking Integration</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The system of record — every payout, EMI collection, and balance update ultimately has to post to the core banking ledger (Finacle, in Bajaj Finserv's case) to be real.</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/v1/core-banking/post-transaction</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posting → 200, ledger balance updated</w:t>
      </w:r>
    </w:p>
    <w:p>
      <w:pPr>
        <w:pStyle w:val="bulletStyle"/>
        <w:numPr>
          <w:ilvl w:val="0"/>
          <w:numId w:val="2"/>
        </w:numPr>
        <w:spacing w:after="60"/>
      </w:pPr>
      <w:r>
        <w:t xml:space="preserve">account frozen/dormant → 400 ACCOUNT_FROZEN</w:t>
      </w:r>
    </w:p>
    <w:p>
      <w:pPr>
        <w:pStyle w:val="bulletStyle"/>
        <w:numPr>
          <w:ilvl w:val="0"/>
          <w:numId w:val="2"/>
        </w:numPr>
        <w:spacing w:after="60"/>
      </w:pPr>
      <w:r>
        <w:t xml:space="preserve">core banking system in end-of-day batch window (a real, common constraint) → 503 EOD_IN_PROGRESS</w:t>
      </w:r>
    </w:p>
    <w:p>
      <w:pPr>
        <w:pStyle w:val="bulletStyle"/>
        <w:numPr>
          <w:ilvl w:val="0"/>
          <w:numId w:val="2"/>
        </w:numPr>
        <w:spacing w:after="60"/>
      </w:pPr>
      <w:r>
        <w:t xml:space="preserve">two systems both post the same transaction (a double-entry-bookkeeping integrity issue) → the ledger should reject/reconcile, not silently double-book</w:t>
      </w:r>
    </w:p>
    <w:p>
      <w:pPr>
        <w:spacing w:after="100"/>
      </w:pPr>
      <w:r>
        <w:rPr>
          <w:rFonts w:ascii="Calibri" w:cs="Calibri" w:eastAsia="Calibri" w:hAnsi="Calibri"/>
          <w:b/>
          <w:bCs/>
          <w:sz w:val="21"/>
          <w:szCs w:val="21"/>
        </w:rPr>
        <w:t xml:space="preserve">Note: </w:t>
      </w:r>
      <w:r>
        <w:rPr>
          <w:rFonts w:ascii="Calibri" w:cs="Calibri" w:eastAsia="Calibri" w:hAnsi="Calibri"/>
          <w:sz w:val="21"/>
          <w:szCs w:val="21"/>
        </w:rPr>
        <w:t xml:space="preserve">This is the category you already have genuine hands-on Bajaj Finserv experience in — lean on that in the interview instead of hypotheticals.</w:t>
      </w:r>
    </w:p>
    <w:p>
      <w:pPr>
        <w:pBdr>
          <w:bottom w:val="single" w:color="999999" w:sz="6"/>
        </w:pBdr>
        <w:spacing w:after="200" w:before="200"/>
      </w:pPr>
    </w:p>
    <w:p>
      <w:pPr>
        <w:pStyle w:val="Heading1"/>
        <w:spacing w:after="160" w:before="320"/>
      </w:pPr>
      <w:r>
        <w:t xml:space="preserve">6. Fraud &amp; AML Screening</w:t>
      </w:r>
    </w:p>
    <w:p>
      <w:pPr>
        <w:pStyle w:val="Heading2"/>
        <w:spacing w:after="100" w:before="240"/>
      </w:pPr>
      <w:r>
        <w:t xml:space="preserve">6.1 PEP (Politically Exposed Person) List Screening</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Checks if a customer (or their close associates) is a politically exposed person — a legal requirement before onboarding, since PEPs need enhanced due diligence.</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/v1/screening/pep-check</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clean match, no PEP → 200 match:false</w:t>
      </w:r>
    </w:p>
    <w:p>
      <w:pPr>
        <w:pStyle w:val="bulletStyle"/>
        <w:numPr>
          <w:ilvl w:val="0"/>
          <w:numId w:val="2"/>
        </w:numPr>
        <w:spacing w:after="60"/>
      </w:pPr>
      <w:r>
        <w:t xml:space="preserve">exact name match found → 200 match:true, matchScore:98</w:t>
      </w:r>
    </w:p>
    <w:p>
      <w:pPr>
        <w:pStyle w:val="bulletStyle"/>
        <w:numPr>
          <w:ilvl w:val="0"/>
          <w:numId w:val="2"/>
        </w:numPr>
        <w:spacing w:after="60"/>
      </w:pPr>
      <w:r>
        <w:t xml:space="preserve">fuzzy/partial name match (common name, needs human review, not an auto-reject) → 200 match:"POSSIBLE", matchScore:61, requiresManualReview:true — this three-way distinction (auto-clear / auto-reject / needs-a-human) is the real nuance in fraud screening</w:t>
      </w:r>
    </w:p>
    <w:p>
      <w:pPr>
        <w:pStyle w:val="Heading2"/>
        <w:spacing w:after="100" w:before="240"/>
      </w:pPr>
      <w:r>
        <w:t xml:space="preserve">6.2 Sanctions List Check</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Screens against government/UN sanctions lists (OFAC, UN Security Council, etc.) — a hard legal block, not a risk score, if there's a confirmed match.</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/v1/screening/sanctions-check</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clean → 200 cleared:true</w:t>
      </w:r>
    </w:p>
    <w:p>
      <w:pPr>
        <w:pStyle w:val="bulletStyle"/>
        <w:numPr>
          <w:ilvl w:val="0"/>
          <w:numId w:val="2"/>
        </w:numPr>
        <w:spacing w:after="60"/>
      </w:pPr>
      <w:r>
        <w:t xml:space="preserve">confirmed match → 200 cleared:false, action:"BLOCK_ONBOARDING" (must hard-block, unlike PEP screening which allows manual review)</w:t>
      </w:r>
    </w:p>
    <w:p>
      <w:pPr>
        <w:pStyle w:val="bulletStyle"/>
        <w:numPr>
          <w:ilvl w:val="0"/>
          <w:numId w:val="2"/>
        </w:numPr>
        <w:spacing w:after="60"/>
      </w:pPr>
      <w:r>
        <w:t xml:space="preserve">list provider's data is stale (&gt;24hr, a real freshness concern) → flagged internally even if the check itself returns clean</w:t>
      </w:r>
    </w:p>
    <w:p>
      <w:pPr>
        <w:pStyle w:val="Heading2"/>
        <w:spacing w:after="100" w:before="240"/>
      </w:pPr>
      <w:r>
        <w:t xml:space="preserve">6.3 Device Fingerprinting</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Identifies the device/browser making a request to detect fraud patterns (same device used across 20 different "new customer" applications, for example).</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/v1/fraud/device-check</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new, clean device → 200 low risk score</w:t>
      </w:r>
    </w:p>
    <w:p>
      <w:pPr>
        <w:pStyle w:val="bulletStyle"/>
        <w:numPr>
          <w:ilvl w:val="0"/>
          <w:numId w:val="2"/>
        </w:numPr>
        <w:spacing w:after="60"/>
      </w:pPr>
      <w:r>
        <w:t xml:space="preserve">device seen on multiple recent applications under different names → 200 high risk score, flagged</w:t>
      </w:r>
    </w:p>
    <w:p>
      <w:pPr>
        <w:pStyle w:val="bulletStyle"/>
        <w:numPr>
          <w:ilvl w:val="0"/>
          <w:numId w:val="2"/>
        </w:numPr>
        <w:spacing w:after="60"/>
      </w:pPr>
      <w:r>
        <w:t xml:space="preserve">device fingerprint spoofed/missing (common on privacy-focused browsers) → 200 fingerprint:"PARTIAL", confidence:"LOW" — a partial signal, not a hard failure</w:t>
      </w:r>
    </w:p>
    <w:p>
      <w:pPr>
        <w:pStyle w:val="Heading2"/>
        <w:spacing w:after="100" w:before="240"/>
      </w:pPr>
      <w:r>
        <w:t xml:space="preserve">6.4 Velocity Check</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Flags unusual speed of activity — 5 loan applications in 10 minutes from one number, 3 payout requests in an hour that normally happens once a month.</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/v1/fraud/velocity-check</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normal activity pattern → 200 flagged:false</w:t>
      </w:r>
    </w:p>
    <w:p>
      <w:pPr>
        <w:pStyle w:val="bulletStyle"/>
        <w:numPr>
          <w:ilvl w:val="0"/>
          <w:numId w:val="2"/>
        </w:numPr>
        <w:spacing w:after="60"/>
      </w:pPr>
      <w:r>
        <w:t xml:space="preserve">threshold breached (e.g. &gt;3 applications/hour) → 200 flagged:true, rule:"APPLICATION_VELOCITY"</w:t>
      </w:r>
    </w:p>
    <w:p>
      <w:pPr>
        <w:pStyle w:val="bulletStyle"/>
        <w:numPr>
          <w:ilvl w:val="0"/>
          <w:numId w:val="2"/>
        </w:numPr>
        <w:spacing w:after="60"/>
      </w:pPr>
      <w:r>
        <w:t xml:space="preserve">this is the same shape of query as your A4 (payout request after suspension) — cross-referencing behavior against a rule, just time-based instead of status-based</w:t>
      </w:r>
    </w:p>
    <w:p>
      <w:pPr>
        <w:pBdr>
          <w:bottom w:val="single" w:color="999999" w:sz="6"/>
        </w:pBdr>
        <w:spacing w:after="200" w:before="200"/>
      </w:pPr>
    </w:p>
    <w:p>
      <w:pPr>
        <w:pStyle w:val="Heading1"/>
        <w:spacing w:after="160" w:before="320"/>
      </w:pPr>
      <w:r>
        <w:t xml:space="preserve">7. Regulatory Reporting</w:t>
      </w:r>
    </w:p>
    <w:p>
      <w:pPr>
        <w:pStyle w:val="Heading2"/>
        <w:spacing w:after="100" w:before="240"/>
      </w:pPr>
      <w:r>
        <w:t xml:space="preserve">7.1 RBI/SEBI Reporting Feed</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Periodically submits required data (loan book summary, NPA figures, transaction volumes) to the regulator in a prescribed format.</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/v1/regulatory/rbi-submission</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submission, accepted → 200 acknowledgementNumber returned</w:t>
      </w:r>
    </w:p>
    <w:p>
      <w:pPr>
        <w:pStyle w:val="bulletStyle"/>
        <w:numPr>
          <w:ilvl w:val="0"/>
          <w:numId w:val="2"/>
        </w:numPr>
        <w:spacing w:after="60"/>
      </w:pPr>
      <w:r>
        <w:t xml:space="preserve">data fails the regulator's own schema validation → 400 with a specific field-level error (the regulator's API tells you exactly what's wrong)</w:t>
      </w:r>
    </w:p>
    <w:p>
      <w:pPr>
        <w:pStyle w:val="bulletStyle"/>
        <w:numPr>
          <w:ilvl w:val="0"/>
          <w:numId w:val="2"/>
        </w:numPr>
        <w:spacing w:after="60"/>
      </w:pPr>
      <w:r>
        <w:t xml:space="preserve">submission window closed (hard monthly/quarterly deadlines) → 403 SUBMISSION_WINDOW_CLOSED — a missed regulatory deadline is a genuine compliance incident, not just a bug</w:t>
      </w:r>
    </w:p>
    <w:p>
      <w:pPr>
        <w:pStyle w:val="Heading2"/>
        <w:spacing w:after="100" w:before="240"/>
      </w:pPr>
      <w:r>
        <w:t xml:space="preserve">7.2 CKYC Upload</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The reverse of 1.4 — uploading a newly completed KYC record to the central registry so other institutions can find it later.</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/v1/ckyc/upload</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upload → 200, CKYC number assigned</w:t>
      </w:r>
    </w:p>
    <w:p>
      <w:pPr>
        <w:pStyle w:val="bulletStyle"/>
        <w:numPr>
          <w:ilvl w:val="0"/>
          <w:numId w:val="2"/>
        </w:numPr>
        <w:spacing w:after="60"/>
      </w:pPr>
      <w:r>
        <w:t xml:space="preserve">duplicate upload for a PAN already registered → 409, should update not duplicate</w:t>
      </w:r>
    </w:p>
    <w:p>
      <w:pPr>
        <w:pStyle w:val="bulletStyle"/>
        <w:numPr>
          <w:ilvl w:val="0"/>
          <w:numId w:val="2"/>
        </w:numPr>
        <w:spacing w:after="60"/>
      </w:pPr>
      <w:r>
        <w:t xml:space="preserve">mandatory field missing per CKYC's own schema (father's name, a required field in India's KYC norms) → 400</w:t>
      </w:r>
    </w:p>
    <w:p>
      <w:pPr>
        <w:pStyle w:val="Heading2"/>
        <w:spacing w:after="100" w:before="240"/>
      </w:pPr>
      <w:r>
        <w:t xml:space="preserve">7.3 Suspicious Transaction Report (STR) Filing</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Files a report with India's Financial Intelligence Unit (FIU-IND) when a transaction pattern looks like potential money laundering — a legal obligation, and the filing itself is confidential (the customer is never told).</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/v1/regulatory/str-filing</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filing submitted, within the legally required window (7 working days from detection in India) → 200</w:t>
      </w:r>
    </w:p>
    <w:p>
      <w:pPr>
        <w:pStyle w:val="bulletStyle"/>
        <w:numPr>
          <w:ilvl w:val="0"/>
          <w:numId w:val="2"/>
        </w:numPr>
        <w:spacing w:after="60"/>
      </w:pPr>
      <w:r>
        <w:t xml:space="preserve">filing submitted late → logged as a compliance breach internally, a real operational risk to track</w:t>
      </w:r>
    </w:p>
    <w:p>
      <w:pPr>
        <w:pStyle w:val="bulletStyle"/>
        <w:numPr>
          <w:ilvl w:val="0"/>
          <w:numId w:val="2"/>
        </w:numPr>
        <w:spacing w:after="60"/>
      </w:pPr>
      <w:r>
        <w:t xml:space="preserve">filing references a transaction ID that doesn't exist in the system → 400 (data integrity check)</w:t>
      </w:r>
    </w:p>
    <w:p>
      <w:pPr>
        <w:pBdr>
          <w:bottom w:val="single" w:color="999999" w:sz="6"/>
        </w:pBdr>
        <w:spacing w:after="200" w:before="200"/>
      </w:pPr>
    </w:p>
    <w:p>
      <w:pPr>
        <w:pStyle w:val="Heading1"/>
        <w:spacing w:after="160" w:before="320"/>
      </w:pPr>
      <w:r>
        <w:t xml:space="preserve">8. Notifications / Webhooks</w:t>
      </w:r>
    </w:p>
    <w:p>
      <w:pPr>
        <w:pStyle w:val="Heading2"/>
        <w:spacing w:after="100" w:before="240"/>
      </w:pPr>
      <w:r>
        <w:t xml:space="preserve">8.1 SMS/Email/WhatsApp Gateway</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Sends the OTPs, confirmations, and reminders customers actually see — "Your KYC is verified," "EMI due tomorrow."</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/v1/notifications/send</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valid send → 200, messageId returned</w:t>
      </w:r>
    </w:p>
    <w:p>
      <w:pPr>
        <w:pStyle w:val="bulletStyle"/>
        <w:numPr>
          <w:ilvl w:val="0"/>
          <w:numId w:val="2"/>
        </w:numPr>
        <w:spacing w:after="60"/>
      </w:pPr>
      <w:r>
        <w:t xml:space="preserve">invalid phone/email format → 400</w:t>
      </w:r>
    </w:p>
    <w:p>
      <w:pPr>
        <w:pStyle w:val="bulletStyle"/>
        <w:numPr>
          <w:ilvl w:val="0"/>
          <w:numId w:val="2"/>
        </w:numPr>
        <w:spacing w:after="60"/>
      </w:pPr>
      <w:r>
        <w:t xml:space="preserve">delivery fails downstream (number doesn't exist, mailbox full) — the send API call still returned 200 (it accepted the job); delivery fails separately and asynchronously, usually reported via a callback — an important distinction between "the API accepted my request" and "the thing I asked for actually happened"</w:t>
      </w:r>
    </w:p>
    <w:p>
      <w:pPr>
        <w:pStyle w:val="bulletStyle"/>
        <w:numPr>
          <w:ilvl w:val="0"/>
          <w:numId w:val="2"/>
        </w:numPr>
        <w:spacing w:after="60"/>
      </w:pPr>
      <w:r>
        <w:t xml:space="preserve">rate limit hit (can't spam the same number) → 429</w:t>
      </w:r>
    </w:p>
    <w:p>
      <w:pPr>
        <w:pStyle w:val="Heading2"/>
        <w:spacing w:after="100" w:before="240"/>
      </w:pPr>
      <w:r>
        <w:t xml:space="preserve">8.2 Internal Webhook (Payout Completed / KYC Verified)</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Your own system telling other internal systems "this thing just happened" — e.g., core banking tells the customer-notification service a payout completed.</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{subscriber's URL}/webhooks/payout-completed (you're the sender here, not receiver)</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subscriber acknowledges (200) → done</w:t>
      </w:r>
    </w:p>
    <w:p>
      <w:pPr>
        <w:pStyle w:val="bulletStyle"/>
        <w:numPr>
          <w:ilvl w:val="0"/>
          <w:numId w:val="2"/>
        </w:numPr>
        <w:spacing w:after="60"/>
      </w:pPr>
      <w:r>
        <w:t xml:space="preserve">subscriber is down/times out → your system needs a retry-with-backoff policy, not a one-shot fire-and-forget</w:t>
      </w:r>
    </w:p>
    <w:p>
      <w:pPr>
        <w:pStyle w:val="bulletStyle"/>
        <w:numPr>
          <w:ilvl w:val="0"/>
          <w:numId w:val="2"/>
        </w:numPr>
        <w:spacing w:after="60"/>
      </w:pPr>
      <w:r>
        <w:t xml:space="preserve">subscriber receives the same event twice (a retry after a slow-but-successful first attempt) → the subscriber must handle it idempotently, same lesson as 4.1's duplicate payment</w:t>
      </w:r>
    </w:p>
    <w:p>
      <w:pPr>
        <w:pStyle w:val="bulletStyle"/>
        <w:numPr>
          <w:ilvl w:val="0"/>
          <w:numId w:val="2"/>
        </w:numPr>
        <w:spacing w:after="60"/>
      </w:pPr>
      <w:r>
        <w:t xml:space="preserve">payload signature can't be verified by the subscriber → they should reject it; you should be able to prove authenticity (HMAC signing is the standard approach)</w:t>
      </w:r>
    </w:p>
    <w:p>
      <w:pPr>
        <w:pBdr>
          <w:bottom w:val="single" w:color="999999" w:sz="6"/>
        </w:pBdr>
        <w:spacing w:after="200" w:before="200"/>
      </w:pPr>
    </w:p>
    <w:p>
      <w:pPr>
        <w:pStyle w:val="Heading1"/>
        <w:spacing w:after="160" w:before="320"/>
      </w:pPr>
      <w:r>
        <w:t xml:space="preserve">9. Account Aggregator (AA)</w:t>
      </w:r>
    </w:p>
    <w:p>
      <w:pPr>
        <w:pStyle w:val="Heading2"/>
        <w:spacing w:after="100" w:before="240"/>
      </w:pPr>
      <w:r>
        <w:t xml:space="preserve">9.1 RBI Account Aggregator Data Pull</w:t>
      </w:r>
    </w:p>
    <w:p>
      <w:pPr>
        <w:spacing w:after="100"/>
      </w:pPr>
      <w:r>
        <w:rPr>
          <w:rFonts w:ascii="Calibri" w:cs="Calibri" w:eastAsia="Calibri" w:hAnsi="Calibri"/>
          <w:b/>
          <w:bCs/>
          <w:sz w:val="21"/>
          <w:szCs w:val="21"/>
        </w:rPr>
        <w:t xml:space="preserve">What it does: </w:t>
      </w:r>
      <w:r>
        <w:rPr>
          <w:rFonts w:ascii="Calibri" w:cs="Calibri" w:eastAsia="Calibri" w:hAnsi="Calibri"/>
          <w:sz w:val="21"/>
          <w:szCs w:val="21"/>
        </w:rPr>
        <w:t xml:space="preserve">With explicit customer consent, pulls financial data (bank statements, insurance, investments) from other institutions via India's AA framework (Setu, Finvu, etc.) — the modern, RBI-sanctioned replacement for asking customers to email PDFs.</w:t>
      </w:r>
    </w:p>
    <w:p>
      <w:pPr>
        <w:spacing w:after="100"/>
      </w:pPr>
      <w:r>
        <w:rPr>
          <w:rFonts w:ascii="Calibri" w:cs="Calibri" w:eastAsia="Calibri" w:hAnsi="Calibri"/>
          <w:b/>
          <w:bCs/>
          <w:sz w:val="21"/>
          <w:szCs w:val="21"/>
        </w:rPr>
        <w:t xml:space="preserve">Endpoint: </w:t>
      </w:r>
      <w:r>
        <w:rPr>
          <w:rFonts w:ascii="Calibri" w:cs="Calibri" w:eastAsia="Calibri" w:hAnsi="Calibri"/>
          <w:sz w:val="21"/>
          <w:szCs w:val="21"/>
        </w:rPr>
        <w:t xml:space="preserve"/>
      </w:r>
    </w:p>
    <w:p>
      <w:pPr>
        <w:pBdr>
          <w:top w:val="single" w:color="CCCCCC" w:sz="2"/>
          <w:bottom w:val="single" w:color="CCCCCC" w:sz="2"/>
          <w:left w:val="single" w:color="CCCCCC" w:sz="2"/>
          <w:right w:val="single" w:color="CCCCCC" w:sz="2"/>
        </w:pBdr>
        <w:shd w:fill="F2F2F2"/>
        <w:spacing w:after="140"/>
      </w:pPr>
      <w:r>
        <w:rPr>
          <w:rFonts w:ascii="Consolas" w:cs="Consolas" w:eastAsia="Consolas" w:hAnsi="Consolas"/>
          <w:sz w:val="18"/>
          <w:szCs w:val="18"/>
        </w:rPr>
        <w:t xml:space="preserve">POST /v1/aa/consent (request consent) → GET /v1/aa/data/{consentId} (pull once approved)</w:t>
      </w:r>
    </w:p>
    <w:p>
      <w:pPr>
        <w:spacing w:after="100"/>
      </w:pPr>
      <w:r>
        <w:rPr>
          <w:rFonts w:ascii="Calibri" w:cs="Calibri" w:eastAsia="Calibri" w:hAnsi="Calibri"/>
          <w:b/>
          <w:bCs/>
          <w:sz w:val="21"/>
          <w:szCs w:val="21"/>
        </w:rPr>
        <w:t xml:space="preserve">Test scenarios:</w:t>
      </w:r>
      <w:r>
        <w:rPr>
          <w:rFonts w:ascii="Calibri" w:cs="Calibri" w:eastAsia="Calibri" w:hAnsi="Calibri"/>
          <w:sz w:val="21"/>
          <w:szCs w:val="21"/>
        </w:rPr>
        <w:t xml:space="preserve"/>
      </w:r>
    </w:p>
    <w:p>
      <w:pPr>
        <w:pStyle w:val="bulletStyle"/>
        <w:numPr>
          <w:ilvl w:val="0"/>
          <w:numId w:val="2"/>
        </w:numPr>
        <w:spacing w:after="60"/>
      </w:pPr>
      <w:r>
        <w:t xml:space="preserve">consent requested, customer approves in their AA app → data pull succeeds, 200</w:t>
      </w:r>
    </w:p>
    <w:p>
      <w:pPr>
        <w:pStyle w:val="bulletStyle"/>
        <w:numPr>
          <w:ilvl w:val="0"/>
          <w:numId w:val="2"/>
        </w:numPr>
        <w:spacing w:after="60"/>
      </w:pPr>
      <w:r>
        <w:t xml:space="preserve">customer denies consent → 403 CONSENT_DENIED, must not retry without a fresh request</w:t>
      </w:r>
    </w:p>
    <w:p>
      <w:pPr>
        <w:pStyle w:val="bulletStyle"/>
        <w:numPr>
          <w:ilvl w:val="0"/>
          <w:numId w:val="2"/>
        </w:numPr>
        <w:spacing w:after="60"/>
      </w:pPr>
      <w:r>
        <w:t xml:space="preserve">consent approved but expires before data pull happens (consents have a validity window, often single-use or time-boxed) → 410 CONSENT_EXPIRED</w:t>
      </w:r>
    </w:p>
    <w:p>
      <w:pPr>
        <w:pStyle w:val="bulletStyle"/>
        <w:numPr>
          <w:ilvl w:val="0"/>
          <w:numId w:val="2"/>
        </w:numPr>
        <w:spacing w:after="60"/>
      </w:pPr>
      <w:r>
        <w:t xml:space="preserve">source institution (the bank holding the data) is unreachable → the AA framework surfaces this as a specific error, not a generic failure, since the AA is a "consent broker," not the data holder itself — a real architectural nuance: you're always talking to 3 parties (you, the AA, the actual bank), not 2</w:t>
      </w:r>
    </w:p>
    <w:p>
      <w:pPr>
        <w:pBdr>
          <w:bottom w:val="single" w:color="999999" w:sz="6"/>
        </w:pBdr>
        <w:spacing w:after="200" w:before="200"/>
      </w:pPr>
    </w:p>
    <w:p>
      <w:pPr>
        <w:pStyle w:val="Heading1"/>
        <w:spacing w:after="160" w:before="320"/>
      </w:pPr>
      <w:r>
        <w:t xml:space="preserve">The pattern across all 24</w:t>
      </w:r>
    </w:p>
    <w:p>
      <w:pPr>
        <w:spacing w:after="100"/>
      </w:pPr>
      <w:r>
        <w:rPr>
          <w:rFonts w:ascii="Calibri" w:cs="Calibri" w:eastAsia="Calibri" w:hAnsi="Calibri"/>
          <w:sz w:val="21"/>
          <w:szCs w:val="21"/>
        </w:rPr>
        <w:t xml:space="preserve">Notice every single one of these reduces to the same handful of question categories you already rehearsed on the KYC project:</w:t>
      </w:r>
    </w:p>
    <w:p>
      <w:pPr>
        <w:pStyle w:val="ListParagraph"/>
        <w:numPr>
          <w:ilvl w:val="0"/>
          <w:numId w:val="3"/>
        </w:numPr>
        <w:spacing w:after="80"/>
      </w:pPr>
      <w:r>
        <w:t xml:space="preserve">Does it work with valid input?</w:t>
      </w:r>
    </w:p>
    <w:p>
      <w:pPr>
        <w:pStyle w:val="ListParagraph"/>
        <w:numPr>
          <w:ilvl w:val="0"/>
          <w:numId w:val="3"/>
        </w:numPr>
        <w:spacing w:after="80"/>
      </w:pPr>
      <w:r>
        <w:t xml:space="preserve">Does it correctly reject bad/missing input?</w:t>
      </w:r>
    </w:p>
    <w:p>
      <w:pPr>
        <w:pStyle w:val="ListParagraph"/>
        <w:numPr>
          <w:ilvl w:val="0"/>
          <w:numId w:val="3"/>
        </w:numPr>
        <w:spacing w:after="80"/>
      </w:pPr>
      <w:r>
        <w:t xml:space="preserve">Does it enforce who's allowed to ask?</w:t>
      </w:r>
    </w:p>
    <w:p>
      <w:pPr>
        <w:pStyle w:val="ListParagraph"/>
        <w:numPr>
          <w:ilvl w:val="0"/>
          <w:numId w:val="3"/>
        </w:numPr>
        <w:spacing w:after="80"/>
      </w:pPr>
      <w:r>
        <w:t xml:space="preserve">Does it handle "the request was fine but the outcome wasn't" separately from "the request itself was broken" (the UPI/payment-gateway 200-with-FAILED-status pattern — one of the most commonly missed distinctions)?</w:t>
      </w:r>
    </w:p>
    <w:p>
      <w:pPr>
        <w:pStyle w:val="ListParagraph"/>
        <w:numPr>
          <w:ilvl w:val="0"/>
          <w:numId w:val="3"/>
        </w:numPr>
        <w:spacing w:after="80"/>
      </w:pPr>
      <w:r>
        <w:t xml:space="preserve">Does it handle duplicates/retries without double-processing?</w:t>
      </w:r>
    </w:p>
    <w:p>
      <w:pPr>
        <w:pStyle w:val="ListParagraph"/>
        <w:numPr>
          <w:ilvl w:val="0"/>
          <w:numId w:val="3"/>
        </w:numPr>
        <w:spacing w:after="80"/>
      </w:pPr>
      <w:r>
        <w:t xml:space="preserve">What happens when a downstream/third-party system is slow, down, or lying?</w:t>
      </w:r>
    </w:p>
    <w:p>
      <w:pPr>
        <w:pStyle w:val="ListParagraph"/>
        <w:numPr>
          <w:ilvl w:val="0"/>
          <w:numId w:val="3"/>
        </w:numPr>
        <w:spacing w:after="80"/>
      </w:pPr>
      <w:r>
        <w:t xml:space="preserve">Is there a compliance-specific rule layered on top of the generic pattern (consent, masking, a regulatory deadline, a state-specific stamp duty) that a generic API test wouldn't catch unless you know the domain?</w:t>
      </w:r>
    </w:p>
    <w:p>
      <w:pPr>
        <w:spacing w:before="160"/>
      </w:pPr>
      <w:r>
        <w:rPr>
          <w:rFonts w:ascii="Calibri" w:cs="Calibri" w:eastAsia="Calibri" w:hAnsi="Calibri"/>
          <w:sz w:val="21"/>
          <w:szCs w:val="21"/>
        </w:rPr>
        <w:t xml:space="preserve"/>
      </w:r>
    </w:p>
    <w:p>
      <w:pPr>
        <w:spacing w:after="100"/>
      </w:pPr>
      <w:r>
        <w:rPr>
          <w:rFonts w:ascii="Calibri" w:cs="Calibri" w:eastAsia="Calibri" w:hAnsi="Calibri"/>
          <w:sz w:val="21"/>
          <w:szCs w:val="21"/>
        </w:rPr>
        <w:t xml:space="preserve">That seventh point is the actual differentiator for a compliance-flavored PM role — anyone can test "does the API return 200." Knowing which extra domain rule applies to which API, and why it matters, is what this whole document is really testing your fluency on.</w:t>
      </w:r>
    </w:p>
    <w:sectPr>
      <w:pgSz w:w="12240" w:h="15840"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abstractNum w:abstractNumId="3" w15:restartNumberingAfterBreak="0">
    <w:multiLevelType w:val="hybridMultilevel"/>
    <w:lvl w:ilvl="0" w15:tentative="1">
      <w:start w:val="1"/>
      <w:numFmt w:val="decimal"/>
      <w:lvlText w:val="%1."/>
      <w:lvlJc w:val="left"/>
      <w:pPr>
        <w:ind w:left="504" w:hanging="36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2026-09-10T05:23:57.483Z</dcterms:created>
  <dcterms:modified xsi:type="dcterms:W3CDTF">2026-09-10T05:23:57.483Z</dcterms:modified>
</cp:coreProperties>
</file>

<file path=docProps/custom.xml><?xml version="1.0" encoding="utf-8"?>
<Properties xmlns="http://schemas.openxmlformats.org/officeDocument/2006/custom-properties" xmlns:vt="http://schemas.openxmlformats.org/officeDocument/2006/docPropsVTypes"/>
</file>